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39FE58" w14:textId="77777777" w:rsidR="00F1761D" w:rsidRDefault="00F1761D" w:rsidP="00F1761D">
      <w:pPr>
        <w:ind w:left="-142"/>
        <w:jc w:val="center"/>
        <w:rPr>
          <w:rFonts w:ascii="Courier New" w:hAnsi="Courier New"/>
          <w:b/>
          <w:bCs/>
        </w:rPr>
      </w:pPr>
      <w:r>
        <w:rPr>
          <w:rFonts w:ascii="Courier New" w:hAnsi="Courier New" w:cs="Courier New"/>
          <w:b/>
          <w:bCs/>
        </w:rPr>
        <w:t>É</w:t>
      </w:r>
      <w:r>
        <w:rPr>
          <w:rFonts w:ascii="Courier New" w:hAnsi="Courier New"/>
          <w:b/>
          <w:bCs/>
        </w:rPr>
        <w:t>LECTRICIT</w:t>
      </w:r>
      <w:r>
        <w:rPr>
          <w:rFonts w:ascii="Courier New" w:hAnsi="Courier New" w:cs="Courier New"/>
          <w:b/>
          <w:bCs/>
        </w:rPr>
        <w:t>É</w:t>
      </w:r>
      <w:r>
        <w:rPr>
          <w:rFonts w:ascii="Courier New" w:hAnsi="Courier New"/>
          <w:b/>
          <w:bCs/>
        </w:rPr>
        <w:t xml:space="preserve"> DE DJIBOUTI</w:t>
      </w:r>
    </w:p>
    <w:p w14:paraId="70DF5F8A" w14:textId="77777777" w:rsidR="00F1761D" w:rsidRDefault="00F1761D" w:rsidP="00F1761D">
      <w:pPr>
        <w:ind w:left="-142"/>
        <w:jc w:val="center"/>
        <w:rPr>
          <w:rFonts w:ascii="Courier New" w:hAnsi="Courier New"/>
          <w:b/>
          <w:bCs/>
          <w:sz w:val="12"/>
        </w:rPr>
      </w:pPr>
      <w:r>
        <w:rPr>
          <w:rFonts w:ascii="Courier New" w:hAnsi="Courier New" w:cs="Courier New"/>
          <w:b/>
          <w:bCs/>
        </w:rPr>
        <w:t>É</w:t>
      </w:r>
      <w:r>
        <w:rPr>
          <w:rFonts w:ascii="Courier New" w:hAnsi="Courier New"/>
          <w:b/>
          <w:bCs/>
        </w:rPr>
        <w:t>TABLISSEMENT PUBLIC</w:t>
      </w:r>
    </w:p>
    <w:p w14:paraId="44612EB6" w14:textId="77777777" w:rsidR="00F1761D" w:rsidRDefault="00F1761D" w:rsidP="00F1761D">
      <w:pPr>
        <w:rPr>
          <w:rFonts w:ascii="Courier New" w:hAnsi="Courier New"/>
          <w:b/>
          <w:bCs/>
        </w:rPr>
      </w:pPr>
      <w:r>
        <w:rPr>
          <w:noProof/>
        </w:rPr>
        <w:drawing>
          <wp:anchor distT="0" distB="0" distL="114300" distR="114300" simplePos="0" relativeHeight="251659264" behindDoc="0" locked="0" layoutInCell="1" allowOverlap="1" wp14:anchorId="21FE1F27" wp14:editId="2CFDF096">
            <wp:simplePos x="0" y="0"/>
            <wp:positionH relativeFrom="margin">
              <wp:align>center</wp:align>
            </wp:positionH>
            <wp:positionV relativeFrom="paragraph">
              <wp:posOffset>89389</wp:posOffset>
            </wp:positionV>
            <wp:extent cx="971550" cy="924560"/>
            <wp:effectExtent l="0" t="0" r="0" b="8890"/>
            <wp:wrapSquare wrapText="bothSides"/>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71550" cy="924560"/>
                    </a:xfrm>
                    <a:prstGeom prst="rect">
                      <a:avLst/>
                    </a:prstGeom>
                    <a:noFill/>
                  </pic:spPr>
                </pic:pic>
              </a:graphicData>
            </a:graphic>
          </wp:anchor>
        </w:drawing>
      </w:r>
    </w:p>
    <w:p w14:paraId="5F49E670" w14:textId="77777777" w:rsidR="00F1761D" w:rsidRDefault="00F1761D" w:rsidP="00F1761D">
      <w:pPr>
        <w:spacing w:line="360" w:lineRule="auto"/>
        <w:ind w:left="-540" w:right="-337" w:firstLine="180"/>
        <w:outlineLvl w:val="0"/>
        <w:rPr>
          <w:rFonts w:ascii="Arial" w:hAnsi="Arial"/>
          <w:b/>
          <w:bCs/>
          <w:sz w:val="8"/>
        </w:rPr>
      </w:pPr>
    </w:p>
    <w:p w14:paraId="311A4D3A" w14:textId="77777777" w:rsidR="00F1761D" w:rsidRDefault="00F1761D" w:rsidP="00F1761D">
      <w:pPr>
        <w:ind w:left="-567" w:right="-337"/>
        <w:jc w:val="center"/>
        <w:rPr>
          <w:rFonts w:ascii="Berlin Sans FB Demi" w:hAnsi="Berlin Sans FB Demi"/>
          <w:bCs/>
          <w:sz w:val="28"/>
          <w:szCs w:val="34"/>
          <w:u w:val="single"/>
        </w:rPr>
      </w:pPr>
    </w:p>
    <w:p w14:paraId="59116B2F" w14:textId="77777777" w:rsidR="00F1761D" w:rsidRDefault="00F1761D" w:rsidP="00F1761D">
      <w:pPr>
        <w:ind w:left="-567" w:right="-337"/>
        <w:jc w:val="center"/>
        <w:rPr>
          <w:rFonts w:ascii="Berlin Sans FB Demi" w:hAnsi="Berlin Sans FB Demi"/>
          <w:bCs/>
          <w:sz w:val="28"/>
          <w:szCs w:val="34"/>
          <w:u w:val="single"/>
        </w:rPr>
      </w:pPr>
    </w:p>
    <w:p w14:paraId="0C49BDFF" w14:textId="77777777" w:rsidR="00F1761D" w:rsidRDefault="00F1761D" w:rsidP="00F1761D">
      <w:pPr>
        <w:ind w:left="-567" w:right="-337"/>
        <w:jc w:val="center"/>
        <w:rPr>
          <w:rFonts w:ascii="Berlin Sans FB Demi" w:hAnsi="Berlin Sans FB Demi"/>
          <w:bCs/>
          <w:sz w:val="28"/>
          <w:szCs w:val="34"/>
          <w:u w:val="single"/>
        </w:rPr>
      </w:pPr>
    </w:p>
    <w:p w14:paraId="4EC494AF" w14:textId="77777777" w:rsidR="00F1761D" w:rsidRDefault="00F1761D" w:rsidP="00F1761D">
      <w:pPr>
        <w:ind w:left="-567" w:right="-337"/>
        <w:jc w:val="center"/>
        <w:rPr>
          <w:rFonts w:ascii="Berlin Sans FB Demi" w:hAnsi="Berlin Sans FB Demi"/>
          <w:bCs/>
          <w:sz w:val="28"/>
          <w:szCs w:val="34"/>
          <w:u w:val="single"/>
        </w:rPr>
      </w:pPr>
    </w:p>
    <w:p w14:paraId="040AA3E6" w14:textId="0E7D5150" w:rsidR="00F1761D" w:rsidRDefault="00F1761D" w:rsidP="00F1761D">
      <w:pPr>
        <w:ind w:left="-567" w:right="-337"/>
        <w:jc w:val="center"/>
        <w:rPr>
          <w:rFonts w:ascii="Berlin Sans FB Demi" w:hAnsi="Berlin Sans FB Demi"/>
          <w:bCs/>
          <w:sz w:val="28"/>
          <w:szCs w:val="34"/>
          <w:u w:val="single"/>
        </w:rPr>
      </w:pPr>
      <w:r>
        <w:rPr>
          <w:rFonts w:ascii="Berlin Sans FB Demi" w:hAnsi="Berlin Sans FB Demi"/>
          <w:bCs/>
          <w:sz w:val="28"/>
          <w:szCs w:val="34"/>
          <w:u w:val="single"/>
        </w:rPr>
        <w:t>PROJET SECONDE LIGNE D’INTERCONNEXION</w:t>
      </w:r>
    </w:p>
    <w:p w14:paraId="273E743D" w14:textId="77777777" w:rsidR="00F1761D" w:rsidRDefault="00F1761D" w:rsidP="00F1761D">
      <w:pPr>
        <w:rPr>
          <w:sz w:val="22"/>
          <w:szCs w:val="22"/>
          <w:lang w:val="fr-CA"/>
        </w:rPr>
      </w:pPr>
    </w:p>
    <w:p w14:paraId="221C9D07" w14:textId="77777777" w:rsidR="00F1761D" w:rsidRDefault="00F1761D" w:rsidP="00F1761D">
      <w:pPr>
        <w:tabs>
          <w:tab w:val="left" w:pos="1222"/>
        </w:tabs>
        <w:jc w:val="center"/>
        <w:rPr>
          <w:b/>
          <w:sz w:val="36"/>
        </w:rPr>
      </w:pPr>
    </w:p>
    <w:p w14:paraId="13E2D0EB" w14:textId="77777777" w:rsidR="00CE7F2A" w:rsidRPr="009765D6" w:rsidRDefault="00CE7F2A" w:rsidP="00CE7F2A">
      <w:pPr>
        <w:pStyle w:val="Sous-titre"/>
        <w:rPr>
          <w:lang w:val="fr-FR"/>
        </w:rPr>
      </w:pPr>
      <w:bookmarkStart w:id="0" w:name="_Toc77392477"/>
      <w:r w:rsidRPr="009765D6">
        <w:rPr>
          <w:lang w:val="fr-FR"/>
        </w:rPr>
        <w:t xml:space="preserve">Avis d’Appel d’Offres </w:t>
      </w:r>
      <w:bookmarkEnd w:id="0"/>
    </w:p>
    <w:p w14:paraId="7F75846F" w14:textId="77777777" w:rsidR="00CE7F2A" w:rsidRPr="009765D6" w:rsidRDefault="00CE7F2A" w:rsidP="00CE7F2A">
      <w:pPr>
        <w:jc w:val="center"/>
        <w:rPr>
          <w:b/>
          <w:bCs/>
          <w:sz w:val="40"/>
        </w:rPr>
      </w:pPr>
    </w:p>
    <w:p w14:paraId="5A6697F3" w14:textId="77777777" w:rsidR="00CE7F2A" w:rsidRPr="009765D6" w:rsidRDefault="00CE7F2A" w:rsidP="00CE7F2A">
      <w:pPr>
        <w:jc w:val="center"/>
        <w:rPr>
          <w:i/>
          <w:iCs/>
        </w:rPr>
      </w:pPr>
    </w:p>
    <w:p w14:paraId="73F50DF8" w14:textId="77777777" w:rsidR="003D203E" w:rsidRPr="009765D6" w:rsidRDefault="003D203E" w:rsidP="003D203E">
      <w:pPr>
        <w:jc w:val="center"/>
        <w:rPr>
          <w:i/>
          <w:iCs/>
        </w:rPr>
      </w:pPr>
      <w:bookmarkStart w:id="1" w:name="_GoBack"/>
      <w:bookmarkEnd w:id="1"/>
    </w:p>
    <w:p w14:paraId="1B25CF5E" w14:textId="77777777" w:rsidR="003D203E" w:rsidRPr="003D203E" w:rsidRDefault="003D203E" w:rsidP="003D203E">
      <w:pPr>
        <w:spacing w:after="120"/>
        <w:rPr>
          <w:i/>
          <w:iCs/>
          <w:sz w:val="28"/>
          <w:szCs w:val="28"/>
        </w:rPr>
      </w:pPr>
      <w:r w:rsidRPr="003D203E">
        <w:rPr>
          <w:b/>
          <w:bCs/>
          <w:sz w:val="28"/>
          <w:szCs w:val="28"/>
        </w:rPr>
        <w:t>Appel d’Offres No :</w:t>
      </w:r>
      <w:r w:rsidRPr="003D203E">
        <w:rPr>
          <w:b/>
          <w:sz w:val="28"/>
          <w:szCs w:val="28"/>
        </w:rPr>
        <w:t xml:space="preserve"> </w:t>
      </w:r>
      <w:r w:rsidRPr="003D203E">
        <w:rPr>
          <w:bCs/>
          <w:i/>
          <w:iCs/>
          <w:sz w:val="28"/>
          <w:szCs w:val="28"/>
        </w:rPr>
        <w:t>08/FR/PESLI-IDA/2025</w:t>
      </w:r>
    </w:p>
    <w:p w14:paraId="14910EC3" w14:textId="77777777" w:rsidR="003D203E" w:rsidRPr="003D203E" w:rsidRDefault="003D203E" w:rsidP="003D203E">
      <w:pPr>
        <w:pStyle w:val="BankNormal"/>
        <w:spacing w:after="120"/>
        <w:rPr>
          <w:i/>
          <w:iCs/>
          <w:sz w:val="28"/>
          <w:szCs w:val="28"/>
          <w:lang w:val="fr-FR"/>
        </w:rPr>
      </w:pPr>
      <w:r w:rsidRPr="003D203E">
        <w:rPr>
          <w:b/>
          <w:bCs/>
          <w:sz w:val="28"/>
          <w:szCs w:val="28"/>
          <w:lang w:val="fr-FR"/>
        </w:rPr>
        <w:t>Projet </w:t>
      </w:r>
      <w:r w:rsidRPr="003D203E">
        <w:rPr>
          <w:i/>
          <w:iCs/>
          <w:sz w:val="28"/>
          <w:szCs w:val="28"/>
          <w:lang w:val="fr-FR"/>
        </w:rPr>
        <w:t xml:space="preserve">: </w:t>
      </w:r>
      <w:r w:rsidRPr="003D203E">
        <w:rPr>
          <w:bCs/>
          <w:i/>
          <w:iCs/>
          <w:sz w:val="28"/>
          <w:szCs w:val="28"/>
          <w:lang w:val="fr-FR"/>
        </w:rPr>
        <w:t>Projet de la seconde ligne d’interconnexion Djibouti-Ethiopie</w:t>
      </w:r>
    </w:p>
    <w:p w14:paraId="1BEFF881" w14:textId="77777777" w:rsidR="003D203E" w:rsidRPr="003D203E" w:rsidRDefault="003D203E" w:rsidP="003D203E">
      <w:pPr>
        <w:pStyle w:val="BankNormal"/>
        <w:spacing w:after="120"/>
        <w:rPr>
          <w:b/>
          <w:i/>
          <w:iCs/>
          <w:sz w:val="28"/>
          <w:szCs w:val="28"/>
          <w:lang w:val="fr-FR"/>
        </w:rPr>
      </w:pPr>
      <w:r w:rsidRPr="003D203E">
        <w:rPr>
          <w:b/>
          <w:bCs/>
          <w:sz w:val="28"/>
          <w:szCs w:val="28"/>
          <w:lang w:val="fr-FR"/>
        </w:rPr>
        <w:t>Acheteur :</w:t>
      </w:r>
      <w:r w:rsidRPr="003D203E">
        <w:rPr>
          <w:b/>
          <w:sz w:val="28"/>
          <w:szCs w:val="28"/>
          <w:lang w:val="fr-FR"/>
        </w:rPr>
        <w:t xml:space="preserve"> </w:t>
      </w:r>
      <w:r w:rsidRPr="003D203E">
        <w:rPr>
          <w:bCs/>
          <w:i/>
          <w:iCs/>
          <w:sz w:val="28"/>
          <w:szCs w:val="28"/>
          <w:lang w:val="fr-FR"/>
        </w:rPr>
        <w:t>Electricité de Djibouti</w:t>
      </w:r>
    </w:p>
    <w:p w14:paraId="601D200A" w14:textId="77777777" w:rsidR="003D203E" w:rsidRPr="003D203E" w:rsidRDefault="003D203E" w:rsidP="003D203E">
      <w:pPr>
        <w:spacing w:after="120"/>
        <w:rPr>
          <w:i/>
          <w:iCs/>
          <w:sz w:val="28"/>
          <w:szCs w:val="28"/>
        </w:rPr>
      </w:pPr>
      <w:r w:rsidRPr="003D203E">
        <w:rPr>
          <w:b/>
          <w:bCs/>
          <w:sz w:val="28"/>
          <w:szCs w:val="28"/>
        </w:rPr>
        <w:t>Pays :</w:t>
      </w:r>
      <w:r w:rsidRPr="003D203E">
        <w:rPr>
          <w:i/>
          <w:iCs/>
          <w:sz w:val="28"/>
          <w:szCs w:val="28"/>
        </w:rPr>
        <w:t xml:space="preserve"> </w:t>
      </w:r>
      <w:r w:rsidRPr="003D203E">
        <w:rPr>
          <w:bCs/>
          <w:i/>
          <w:iCs/>
          <w:sz w:val="28"/>
          <w:szCs w:val="28"/>
        </w:rPr>
        <w:t>République de Djibouti</w:t>
      </w:r>
    </w:p>
    <w:p w14:paraId="5862FBCB" w14:textId="77777777" w:rsidR="003D203E" w:rsidRPr="003D203E" w:rsidRDefault="003D203E" w:rsidP="003D203E">
      <w:pPr>
        <w:spacing w:after="120"/>
        <w:rPr>
          <w:bCs/>
          <w:i/>
          <w:iCs/>
          <w:sz w:val="28"/>
          <w:szCs w:val="28"/>
        </w:rPr>
      </w:pPr>
      <w:r w:rsidRPr="003D203E">
        <w:rPr>
          <w:b/>
          <w:bCs/>
          <w:sz w:val="28"/>
          <w:szCs w:val="28"/>
        </w:rPr>
        <w:t>Intitulé du Marché</w:t>
      </w:r>
      <w:r w:rsidRPr="003D203E">
        <w:rPr>
          <w:bCs/>
          <w:i/>
          <w:iCs/>
          <w:sz w:val="28"/>
          <w:szCs w:val="28"/>
        </w:rPr>
        <w:t> : Acquisition des véhicules pour le projet</w:t>
      </w:r>
    </w:p>
    <w:p w14:paraId="6862849E" w14:textId="77777777" w:rsidR="003D203E" w:rsidRPr="003D203E" w:rsidRDefault="003D203E" w:rsidP="003D203E">
      <w:pPr>
        <w:spacing w:after="120"/>
        <w:rPr>
          <w:bCs/>
          <w:i/>
          <w:iCs/>
          <w:sz w:val="28"/>
          <w:szCs w:val="28"/>
        </w:rPr>
      </w:pPr>
      <w:r w:rsidRPr="003D203E">
        <w:rPr>
          <w:b/>
          <w:bCs/>
          <w:sz w:val="28"/>
          <w:szCs w:val="28"/>
        </w:rPr>
        <w:t>Prêt/Crédit/don No</w:t>
      </w:r>
      <w:r w:rsidRPr="003D203E">
        <w:rPr>
          <w:bCs/>
          <w:i/>
          <w:iCs/>
          <w:sz w:val="28"/>
          <w:szCs w:val="28"/>
        </w:rPr>
        <w:t> : Crédit Numéro 7074-DJ</w:t>
      </w:r>
    </w:p>
    <w:p w14:paraId="2686947D" w14:textId="77777777" w:rsidR="003D203E" w:rsidRPr="003D203E" w:rsidRDefault="003D203E" w:rsidP="003D203E">
      <w:pPr>
        <w:spacing w:after="120"/>
        <w:rPr>
          <w:bCs/>
          <w:i/>
          <w:iCs/>
          <w:sz w:val="28"/>
          <w:szCs w:val="28"/>
        </w:rPr>
      </w:pPr>
      <w:r w:rsidRPr="003D203E">
        <w:rPr>
          <w:b/>
          <w:bCs/>
          <w:sz w:val="28"/>
          <w:szCs w:val="28"/>
        </w:rPr>
        <w:t>Emis le </w:t>
      </w:r>
      <w:r w:rsidRPr="003D203E">
        <w:rPr>
          <w:bCs/>
          <w:i/>
          <w:iCs/>
          <w:sz w:val="28"/>
          <w:szCs w:val="28"/>
        </w:rPr>
        <w:t>: 27/10/2025</w:t>
      </w:r>
    </w:p>
    <w:p w14:paraId="13FB5941" w14:textId="77777777" w:rsidR="003D203E" w:rsidRPr="003D203E" w:rsidRDefault="003D203E" w:rsidP="003D203E">
      <w:pPr>
        <w:jc w:val="center"/>
        <w:rPr>
          <w:b/>
          <w:bCs/>
          <w:i/>
          <w:iCs/>
        </w:rPr>
      </w:pPr>
    </w:p>
    <w:p w14:paraId="2C9BBDEC" w14:textId="77777777" w:rsidR="003D203E" w:rsidRPr="003D203E" w:rsidRDefault="003D203E" w:rsidP="003D203E">
      <w:pPr>
        <w:numPr>
          <w:ilvl w:val="0"/>
          <w:numId w:val="2"/>
        </w:numPr>
        <w:spacing w:after="200"/>
        <w:ind w:left="0" w:firstLine="0"/>
        <w:jc w:val="both"/>
        <w:rPr>
          <w:bCs/>
          <w:i/>
          <w:iCs/>
        </w:rPr>
      </w:pPr>
      <w:r w:rsidRPr="003D203E">
        <w:rPr>
          <w:szCs w:val="24"/>
        </w:rPr>
        <w:t xml:space="preserve">L’Electricité de Djibouti </w:t>
      </w:r>
      <w:r w:rsidRPr="003D203E">
        <w:rPr>
          <w:i/>
          <w:iCs/>
        </w:rPr>
        <w:t>a reçu</w:t>
      </w:r>
      <w:r w:rsidRPr="003D203E">
        <w:t xml:space="preserve"> un financement de la Banque mondiale pour financer</w:t>
      </w:r>
      <w:r w:rsidRPr="003D203E">
        <w:rPr>
          <w:i/>
          <w:iCs/>
        </w:rPr>
        <w:t xml:space="preserve"> le projet de la seconde ligne d’interconnexion Djibouti-Ethiopie,</w:t>
      </w:r>
      <w:r w:rsidRPr="003D203E">
        <w:t xml:space="preserve"> et à l’intention d’utiliser une partie de ce financement pour effectuer des paiements au titre du Marché </w:t>
      </w:r>
      <w:r w:rsidRPr="003D203E">
        <w:rPr>
          <w:i/>
          <w:iCs/>
        </w:rPr>
        <w:t>« </w:t>
      </w:r>
      <w:r w:rsidRPr="003D203E">
        <w:rPr>
          <w:b/>
          <w:i/>
          <w:iCs/>
          <w:u w:val="single"/>
        </w:rPr>
        <w:t xml:space="preserve">acquisitions des véhicules pour le projet </w:t>
      </w:r>
      <w:r w:rsidRPr="003D203E">
        <w:rPr>
          <w:i/>
          <w:iCs/>
        </w:rPr>
        <w:t xml:space="preserve">». </w:t>
      </w:r>
      <w:r w:rsidRPr="003D203E">
        <w:t>Pour ce marché, l’Emprunteur utilisera la méthode de décaissement par Paiement Direct, telle que définie dans les Directives de Décaissement de la Banque mondiale pour le Financement de Projet d’Investissement, à l’exception des paiements pour lesquels le marché prévoit l’utilisation de crédit documentaire.</w:t>
      </w:r>
    </w:p>
    <w:p w14:paraId="6DD1E01F" w14:textId="77777777" w:rsidR="003D203E" w:rsidRPr="003D203E" w:rsidRDefault="003D203E" w:rsidP="003D203E">
      <w:pPr>
        <w:numPr>
          <w:ilvl w:val="0"/>
          <w:numId w:val="2"/>
        </w:numPr>
        <w:spacing w:after="200"/>
        <w:ind w:left="0" w:firstLine="0"/>
        <w:jc w:val="both"/>
      </w:pPr>
      <w:r w:rsidRPr="003D203E">
        <w:rPr>
          <w:szCs w:val="24"/>
        </w:rPr>
        <w:t xml:space="preserve">L’Electricité de Djibouti </w:t>
      </w:r>
      <w:r w:rsidRPr="003D203E">
        <w:t>sollicite des offres fermées de la part de soumissionnaires éligibles et répondant aux qualifications requises pour fournir les équipements suivants :</w:t>
      </w:r>
    </w:p>
    <w:p w14:paraId="278FF9DA" w14:textId="77777777" w:rsidR="003D203E" w:rsidRPr="003D203E" w:rsidRDefault="003D203E" w:rsidP="003D203E">
      <w:pPr>
        <w:jc w:val="both"/>
      </w:pPr>
    </w:p>
    <w:p w14:paraId="5970EBF2" w14:textId="77777777" w:rsidR="003D203E" w:rsidRPr="003D203E" w:rsidRDefault="003D203E" w:rsidP="003D203E">
      <w:pPr>
        <w:pStyle w:val="Paragraphedeliste"/>
        <w:numPr>
          <w:ilvl w:val="0"/>
          <w:numId w:val="3"/>
        </w:numPr>
        <w:spacing w:after="200"/>
        <w:jc w:val="center"/>
        <w:textAlignment w:val="baseline"/>
        <w:rPr>
          <w:rFonts w:ascii="Times New Roman" w:hAnsi="Times New Roman" w:cs="Times New Roman"/>
          <w:b/>
          <w:bCs/>
          <w:i/>
          <w:iCs/>
          <w:color w:val="0000FF"/>
          <w:sz w:val="28"/>
        </w:rPr>
      </w:pPr>
      <w:r w:rsidRPr="003D203E">
        <w:rPr>
          <w:rFonts w:ascii="Times New Roman" w:hAnsi="Times New Roman" w:cs="Times New Roman"/>
          <w:b/>
          <w:i/>
          <w:iCs/>
          <w:color w:val="0000FF"/>
          <w:sz w:val="28"/>
        </w:rPr>
        <w:t xml:space="preserve">Acquisition des </w:t>
      </w:r>
      <w:r w:rsidRPr="003D203E">
        <w:rPr>
          <w:rFonts w:ascii="Times New Roman" w:hAnsi="Times New Roman" w:cs="Times New Roman"/>
          <w:b/>
          <w:bCs/>
          <w:i/>
          <w:iCs/>
          <w:color w:val="0000FF"/>
          <w:sz w:val="28"/>
        </w:rPr>
        <w:t>véhicules pour le projet</w:t>
      </w:r>
    </w:p>
    <w:p w14:paraId="5C189541" w14:textId="77777777" w:rsidR="003D203E" w:rsidRPr="003D203E" w:rsidRDefault="003D203E" w:rsidP="003D203E">
      <w:pPr>
        <w:jc w:val="center"/>
        <w:rPr>
          <w:b/>
          <w:i/>
          <w:color w:val="0000FF"/>
        </w:rPr>
      </w:pPr>
    </w:p>
    <w:p w14:paraId="3622BF7F" w14:textId="77777777" w:rsidR="003D203E" w:rsidRPr="003D203E" w:rsidRDefault="003D203E" w:rsidP="003D203E">
      <w:pPr>
        <w:numPr>
          <w:ilvl w:val="0"/>
          <w:numId w:val="2"/>
        </w:numPr>
        <w:spacing w:after="200"/>
        <w:ind w:left="0" w:firstLine="0"/>
        <w:jc w:val="both"/>
      </w:pPr>
      <w:r w:rsidRPr="003D203E">
        <w:t>La passation du Marché sera conduite par Mise en Concurrence nationale (AO) tel que défini dans le « </w:t>
      </w:r>
      <w:r w:rsidRPr="003D203E">
        <w:rPr>
          <w:i/>
          <w:iCs/>
        </w:rPr>
        <w:t>Règlement de Passation des Marchés pour les Emprunteurs sollicitant le Financement de Projets d’Investissement</w:t>
      </w:r>
      <w:r w:rsidRPr="003D203E">
        <w:t> » de la Banque mondiale après juillet 2016</w:t>
      </w:r>
      <w:r w:rsidRPr="003D203E">
        <w:rPr>
          <w:i/>
          <w:iCs/>
        </w:rPr>
        <w:t xml:space="preserve"> »,</w:t>
      </w:r>
      <w:r w:rsidRPr="003D203E">
        <w:t xml:space="preserve"> et ouvert à tous les soumissionnaires de pays éligibles tels que définis dans ledit Règlement. </w:t>
      </w:r>
    </w:p>
    <w:p w14:paraId="6E193FA7" w14:textId="77777777" w:rsidR="003D203E" w:rsidRPr="003D203E" w:rsidRDefault="003D203E" w:rsidP="003D203E">
      <w:pPr>
        <w:numPr>
          <w:ilvl w:val="0"/>
          <w:numId w:val="2"/>
        </w:numPr>
        <w:tabs>
          <w:tab w:val="clear" w:pos="720"/>
          <w:tab w:val="num" w:pos="0"/>
        </w:tabs>
        <w:spacing w:after="200"/>
        <w:ind w:left="0" w:firstLine="0"/>
        <w:jc w:val="both"/>
      </w:pPr>
      <w:r w:rsidRPr="003D203E">
        <w:t xml:space="preserve">Les soumissionnaires éligibles et intéressés peuvent obtenir des informations auprès de M. </w:t>
      </w:r>
      <w:proofErr w:type="spellStart"/>
      <w:r w:rsidRPr="003D203E">
        <w:rPr>
          <w:u w:val="single"/>
        </w:rPr>
        <w:t>Mahamoud</w:t>
      </w:r>
      <w:proofErr w:type="spellEnd"/>
      <w:r w:rsidRPr="003D203E">
        <w:rPr>
          <w:u w:val="single"/>
        </w:rPr>
        <w:t xml:space="preserve"> Ali Farah</w:t>
      </w:r>
      <w:r w:rsidRPr="003D203E">
        <w:t xml:space="preserve">, coordinateur du projet et prendre connaissance des documents </w:t>
      </w:r>
      <w:r w:rsidRPr="003D203E">
        <w:lastRenderedPageBreak/>
        <w:t xml:space="preserve">d’appel d’offres à l’adresse mentionnée ci-dessous </w:t>
      </w:r>
      <w:r w:rsidRPr="003D203E">
        <w:rPr>
          <w:spacing w:val="-3"/>
        </w:rPr>
        <w:t xml:space="preserve">sis </w:t>
      </w:r>
      <w:r w:rsidRPr="003D203E">
        <w:rPr>
          <w:b/>
          <w:spacing w:val="-3"/>
        </w:rPr>
        <w:t>Avenue Georges Pompidou, Immeuble Marabout 1er étage</w:t>
      </w:r>
      <w:r w:rsidRPr="003D203E">
        <w:rPr>
          <w:spacing w:val="-3"/>
        </w:rPr>
        <w:t>, Tel : 21 33 08 10, Fax : 21 35 43 96</w:t>
      </w:r>
      <w:r w:rsidRPr="003D203E">
        <w:t xml:space="preserve"> durant les heures de travail </w:t>
      </w:r>
      <w:r w:rsidRPr="003D203E">
        <w:rPr>
          <w:rStyle w:val="Lienhypertexte"/>
          <w:iCs/>
        </w:rPr>
        <w:t>mafaliedd@edd-dj.com,</w:t>
      </w:r>
      <w:r w:rsidRPr="003D203E">
        <w:t xml:space="preserve"> </w:t>
      </w:r>
      <w:proofErr w:type="spellStart"/>
      <w:r w:rsidRPr="003D203E">
        <w:rPr>
          <w:rStyle w:val="Lienhypertexte"/>
          <w:iCs/>
        </w:rPr>
        <w:t>naima-med</w:t>
      </w:r>
      <w:proofErr w:type="spellEnd"/>
      <w:r w:rsidRPr="003D203E">
        <w:rPr>
          <w:rStyle w:val="Lienhypertexte"/>
          <w:iCs/>
        </w:rPr>
        <w:t>@ edd-dj.com</w:t>
      </w:r>
      <w:r w:rsidRPr="003D203E">
        <w:t xml:space="preserve"> ou </w:t>
      </w:r>
      <w:r w:rsidRPr="003D203E">
        <w:rPr>
          <w:rStyle w:val="Lienhypertexte"/>
          <w:iCs/>
        </w:rPr>
        <w:t>djamaedd@edd-dj.com</w:t>
      </w:r>
      <w:r w:rsidRPr="003D203E">
        <w:t xml:space="preserve"> de Dimanche à Jeudi de </w:t>
      </w:r>
      <w:r w:rsidRPr="003D203E">
        <w:rPr>
          <w:rStyle w:val="Lienhypertexte"/>
          <w:iCs/>
        </w:rPr>
        <w:t>8h00 à 13h00</w:t>
      </w:r>
      <w:r w:rsidRPr="003D203E">
        <w:t xml:space="preserve"> et </w:t>
      </w:r>
      <w:r w:rsidRPr="003D203E">
        <w:rPr>
          <w:rStyle w:val="Lienhypertexte"/>
          <w:iCs/>
        </w:rPr>
        <w:t>14h00 à 17h00</w:t>
      </w:r>
      <w:r w:rsidRPr="003D203E">
        <w:t>.</w:t>
      </w:r>
    </w:p>
    <w:p w14:paraId="59ABE5AC" w14:textId="77777777" w:rsidR="003D203E" w:rsidRPr="003D203E" w:rsidRDefault="003D203E" w:rsidP="003D203E">
      <w:pPr>
        <w:numPr>
          <w:ilvl w:val="0"/>
          <w:numId w:val="2"/>
        </w:numPr>
        <w:spacing w:after="200"/>
        <w:ind w:left="0" w:firstLine="0"/>
        <w:jc w:val="both"/>
      </w:pPr>
      <w:r w:rsidRPr="003D203E">
        <w:t xml:space="preserve">Les Soumissionnaires intéressés et éligibles peuvent obtenir un dossier d’appel d’offres complet en </w:t>
      </w:r>
      <w:r w:rsidRPr="003D203E">
        <w:rPr>
          <w:i/>
          <w:iCs/>
        </w:rPr>
        <w:t>français</w:t>
      </w:r>
      <w:r w:rsidRPr="003D203E">
        <w:t xml:space="preserve"> en formulant une demande écrite à l’adresse mentionnée ci-dessous et contre un paiement non remboursable de </w:t>
      </w:r>
      <w:r w:rsidRPr="003D203E">
        <w:rPr>
          <w:i/>
          <w:iCs/>
        </w:rPr>
        <w:t>vingt mille francs (20.000 DJF).</w:t>
      </w:r>
      <w:r w:rsidRPr="003D203E">
        <w:t xml:space="preserve"> La méthode de paiement sera payée sous </w:t>
      </w:r>
      <w:r w:rsidRPr="003D203E">
        <w:rPr>
          <w:szCs w:val="24"/>
          <w:lang w:val="fr-CA"/>
        </w:rPr>
        <w:t>un chèque certifié au nom de l'Électricité de Djibouti (EDD</w:t>
      </w:r>
      <w:r w:rsidRPr="003D203E">
        <w:t xml:space="preserve">). Le document d’appel d’offres sera adressé par </w:t>
      </w:r>
      <w:r w:rsidRPr="003D203E">
        <w:rPr>
          <w:i/>
          <w:iCs/>
          <w:szCs w:val="24"/>
        </w:rPr>
        <w:t>voie électronique ou par papier</w:t>
      </w:r>
      <w:r w:rsidRPr="003D203E">
        <w:rPr>
          <w:i/>
          <w:iCs/>
        </w:rPr>
        <w:t>.</w:t>
      </w:r>
    </w:p>
    <w:p w14:paraId="3296E900" w14:textId="77777777" w:rsidR="003D203E" w:rsidRPr="003D203E" w:rsidRDefault="003D203E" w:rsidP="003D203E">
      <w:pPr>
        <w:numPr>
          <w:ilvl w:val="0"/>
          <w:numId w:val="2"/>
        </w:numPr>
        <w:spacing w:after="200"/>
        <w:ind w:left="0" w:firstLine="0"/>
        <w:jc w:val="both"/>
      </w:pPr>
      <w:r w:rsidRPr="003D203E">
        <w:t xml:space="preserve">Les offres devront être soumises à l’adresse suivante </w:t>
      </w:r>
      <w:r w:rsidRPr="003D203E">
        <w:rPr>
          <w:i/>
          <w:iCs/>
        </w:rPr>
        <w:t xml:space="preserve">à Electricité de Djibouti : bureau de projet de la seconde ligne d’interconnexion Immeuble Marabout, avenue Georges Pompidou </w:t>
      </w:r>
      <w:r w:rsidRPr="003D203E">
        <w:t xml:space="preserve">au plus tard le </w:t>
      </w:r>
      <w:r w:rsidRPr="003D203E">
        <w:rPr>
          <w:b/>
          <w:szCs w:val="24"/>
          <w:u w:val="single"/>
        </w:rPr>
        <w:t xml:space="preserve">Mercredi 26 Novembre 2025 </w:t>
      </w:r>
      <w:r w:rsidRPr="003D203E">
        <w:rPr>
          <w:szCs w:val="24"/>
        </w:rPr>
        <w:t xml:space="preserve">à </w:t>
      </w:r>
      <w:r w:rsidRPr="003D203E">
        <w:rPr>
          <w:b/>
          <w:szCs w:val="24"/>
          <w:u w:val="single"/>
        </w:rPr>
        <w:t>8h30</w:t>
      </w:r>
      <w:r w:rsidRPr="003D203E">
        <w:rPr>
          <w:color w:val="0000FF"/>
          <w:szCs w:val="24"/>
          <w:lang w:val="fr-CA"/>
        </w:rPr>
        <w:t xml:space="preserve">. </w:t>
      </w:r>
      <w:r w:rsidRPr="003D203E">
        <w:t xml:space="preserve">La soumission des offres par voie électronique </w:t>
      </w:r>
      <w:r w:rsidRPr="003D203E">
        <w:rPr>
          <w:i/>
          <w:iCs/>
        </w:rPr>
        <w:t>« ne sera pas »</w:t>
      </w:r>
      <w:r w:rsidRPr="003D203E">
        <w:t xml:space="preserve"> autorisée. Les offres remises en retard ne seront pas acceptées. Les offres seront ouvertes publiquement en présence des représentants des Soumissionnaires et de toute personne choisissant d’être présente à l’adresse mentionnée ci-dessous à la</w:t>
      </w:r>
      <w:r w:rsidRPr="003D203E">
        <w:rPr>
          <w:szCs w:val="24"/>
          <w:lang w:val="fr-CA"/>
        </w:rPr>
        <w:t xml:space="preserve"> Salle de réunion de</w:t>
      </w:r>
      <w:r w:rsidRPr="003D203E">
        <w:rPr>
          <w:color w:val="0000FF"/>
          <w:szCs w:val="22"/>
          <w:lang w:val="fr-CA"/>
        </w:rPr>
        <w:t xml:space="preserve"> la C</w:t>
      </w:r>
      <w:r w:rsidRPr="003D203E">
        <w:rPr>
          <w:color w:val="0000FF"/>
          <w:szCs w:val="24"/>
          <w:lang w:val="fr-CA"/>
        </w:rPr>
        <w:t>ommission Nationale des Marchés Publics (CNMP)</w:t>
      </w:r>
      <w:r w:rsidRPr="003D203E">
        <w:rPr>
          <w:szCs w:val="24"/>
          <w:lang w:val="fr-CA"/>
        </w:rPr>
        <w:t xml:space="preserve">, </w:t>
      </w:r>
      <w:proofErr w:type="spellStart"/>
      <w:r w:rsidRPr="003D203E">
        <w:rPr>
          <w:szCs w:val="24"/>
          <w:lang w:val="fr-CA"/>
        </w:rPr>
        <w:t>rez</w:t>
      </w:r>
      <w:proofErr w:type="spellEnd"/>
      <w:r w:rsidRPr="003D203E">
        <w:rPr>
          <w:szCs w:val="24"/>
          <w:lang w:val="fr-CA"/>
        </w:rPr>
        <w:t xml:space="preserve"> de chaussée du</w:t>
      </w:r>
      <w:r w:rsidRPr="003D203E">
        <w:rPr>
          <w:i/>
          <w:iCs/>
          <w:szCs w:val="24"/>
          <w:lang w:val="fr-CA"/>
        </w:rPr>
        <w:t xml:space="preserve"> </w:t>
      </w:r>
      <w:r w:rsidRPr="003D203E">
        <w:rPr>
          <w:i/>
          <w:iCs/>
          <w:color w:val="0000FF"/>
          <w:szCs w:val="24"/>
          <w:lang w:val="fr-CA"/>
        </w:rPr>
        <w:t>palais du peuple le</w:t>
      </w:r>
      <w:r w:rsidRPr="003D203E">
        <w:t xml:space="preserve"> </w:t>
      </w:r>
      <w:r w:rsidRPr="003D203E">
        <w:rPr>
          <w:b/>
          <w:szCs w:val="24"/>
          <w:u w:val="single"/>
        </w:rPr>
        <w:t>Mercredi 26 Novembre 2025</w:t>
      </w:r>
      <w:r w:rsidRPr="003D203E">
        <w:rPr>
          <w:szCs w:val="24"/>
        </w:rPr>
        <w:t xml:space="preserve"> à </w:t>
      </w:r>
      <w:r w:rsidRPr="003D203E">
        <w:rPr>
          <w:b/>
          <w:szCs w:val="24"/>
          <w:u w:val="single"/>
        </w:rPr>
        <w:t>9h00</w:t>
      </w:r>
      <w:r w:rsidRPr="003D203E">
        <w:rPr>
          <w:color w:val="0000FF"/>
          <w:szCs w:val="24"/>
          <w:lang w:val="fr-CA"/>
        </w:rPr>
        <w:t>.</w:t>
      </w:r>
      <w:r w:rsidRPr="003D203E">
        <w:t xml:space="preserve"> </w:t>
      </w:r>
    </w:p>
    <w:p w14:paraId="627585F5" w14:textId="77777777" w:rsidR="003D203E" w:rsidRPr="003D203E" w:rsidRDefault="003D203E" w:rsidP="003D203E">
      <w:pPr>
        <w:numPr>
          <w:ilvl w:val="0"/>
          <w:numId w:val="2"/>
        </w:numPr>
        <w:spacing w:after="200"/>
        <w:ind w:left="0" w:firstLine="0"/>
        <w:jc w:val="both"/>
      </w:pPr>
      <w:r w:rsidRPr="003D203E">
        <w:t xml:space="preserve">Toutes les offres doivent comprendre </w:t>
      </w:r>
      <w:r w:rsidRPr="003D203E">
        <w:rPr>
          <w:i/>
          <w:iCs/>
        </w:rPr>
        <w:t>« une Garantie de l’Offre »</w:t>
      </w:r>
      <w:r w:rsidRPr="003D203E">
        <w:t xml:space="preserve">, pour un montant de </w:t>
      </w:r>
      <w:r w:rsidRPr="003D203E">
        <w:rPr>
          <w:b/>
          <w:u w:val="single"/>
        </w:rPr>
        <w:t>800.000 DJF</w:t>
      </w:r>
      <w:r w:rsidRPr="003D203E">
        <w:rPr>
          <w:b/>
          <w:iCs/>
          <w:u w:val="single"/>
        </w:rPr>
        <w:t>.</w:t>
      </w:r>
      <w:r w:rsidRPr="003D203E">
        <w:rPr>
          <w:iCs/>
        </w:rPr>
        <w:t xml:space="preserve"> </w:t>
      </w:r>
    </w:p>
    <w:p w14:paraId="51A0E37E" w14:textId="77777777" w:rsidR="003D203E" w:rsidRPr="003D203E" w:rsidRDefault="003D203E" w:rsidP="003D203E">
      <w:pPr>
        <w:pStyle w:val="Paragraphedeliste"/>
        <w:numPr>
          <w:ilvl w:val="0"/>
          <w:numId w:val="2"/>
        </w:numPr>
        <w:tabs>
          <w:tab w:val="clear" w:pos="720"/>
          <w:tab w:val="left" w:pos="0"/>
        </w:tabs>
        <w:spacing w:before="240" w:after="240"/>
        <w:ind w:left="0" w:firstLine="0"/>
        <w:textAlignment w:val="baseline"/>
        <w:rPr>
          <w:rFonts w:ascii="Times New Roman" w:hAnsi="Times New Roman" w:cs="Times New Roman"/>
          <w:spacing w:val="-2"/>
          <w:szCs w:val="24"/>
        </w:rPr>
      </w:pPr>
      <w:bookmarkStart w:id="2" w:name="_Hlk100069864"/>
      <w:r w:rsidRPr="003D203E">
        <w:rPr>
          <w:rFonts w:ascii="Times New Roman" w:hAnsi="Times New Roman" w:cs="Times New Roman"/>
          <w:spacing w:val="-2"/>
          <w:lang w:val="fr"/>
        </w:rPr>
        <w:t>L’attention est attirée sur le Règlement de Passation de Marchés exigeant que l’Emprunteur divulgue des informations sur la propriété effective du Soumissionnaire retenu, dans le cadre de la Notification d’Attribution du Marché, en utilisant le Formulaire de Divulgation des Bénéficiaires Effectifs tel qu’il est inclus dans le document d’appel d’offres.</w:t>
      </w:r>
    </w:p>
    <w:bookmarkEnd w:id="2"/>
    <w:p w14:paraId="24442A4C" w14:textId="77777777" w:rsidR="003D203E" w:rsidRPr="003D203E" w:rsidRDefault="003D203E" w:rsidP="003D203E">
      <w:pPr>
        <w:numPr>
          <w:ilvl w:val="0"/>
          <w:numId w:val="2"/>
        </w:numPr>
        <w:spacing w:after="200"/>
        <w:ind w:left="0" w:firstLine="0"/>
        <w:jc w:val="both"/>
        <w:rPr>
          <w:i/>
          <w:iCs/>
          <w:szCs w:val="22"/>
          <w:lang w:val="fr-CA"/>
        </w:rPr>
      </w:pPr>
      <w:r w:rsidRPr="003D203E">
        <w:t xml:space="preserve">L’adresse auxquelles il est fait référence ci-dessus est : </w:t>
      </w:r>
    </w:p>
    <w:p w14:paraId="6617710F" w14:textId="77777777" w:rsidR="003D203E" w:rsidRPr="003D203E" w:rsidRDefault="003D203E" w:rsidP="003D203E">
      <w:pPr>
        <w:jc w:val="both"/>
        <w:rPr>
          <w:i/>
          <w:iCs/>
          <w:szCs w:val="22"/>
          <w:lang w:val="fr-CA"/>
        </w:rPr>
      </w:pPr>
      <w:r w:rsidRPr="003D203E">
        <w:rPr>
          <w:iCs/>
          <w:color w:val="000000"/>
          <w:szCs w:val="22"/>
          <w:lang w:val="fr-CA"/>
        </w:rPr>
        <w:t xml:space="preserve">Nom de l’Agence d’exécution : </w:t>
      </w:r>
      <w:r w:rsidRPr="003D203E">
        <w:rPr>
          <w:i/>
          <w:iCs/>
          <w:color w:val="000000"/>
          <w:szCs w:val="22"/>
          <w:lang w:val="fr-CA"/>
        </w:rPr>
        <w:t>ELECTRICITE</w:t>
      </w:r>
      <w:r w:rsidRPr="003D203E">
        <w:rPr>
          <w:i/>
          <w:iCs/>
          <w:szCs w:val="22"/>
          <w:lang w:val="fr-CA"/>
        </w:rPr>
        <w:t xml:space="preserve"> DE DJIBOUTI</w:t>
      </w:r>
    </w:p>
    <w:p w14:paraId="2C594948" w14:textId="77777777" w:rsidR="003D203E" w:rsidRPr="003D203E" w:rsidRDefault="003D203E" w:rsidP="003D203E">
      <w:pPr>
        <w:jc w:val="both"/>
        <w:rPr>
          <w:i/>
          <w:iCs/>
        </w:rPr>
      </w:pPr>
      <w:r w:rsidRPr="003D203E">
        <w:rPr>
          <w:iCs/>
          <w:szCs w:val="22"/>
          <w:lang w:val="fr-CA"/>
        </w:rPr>
        <w:t xml:space="preserve">Nom du </w:t>
      </w:r>
      <w:r w:rsidRPr="003D203E">
        <w:rPr>
          <w:iCs/>
          <w:color w:val="000000"/>
          <w:szCs w:val="22"/>
          <w:lang w:val="fr-CA"/>
        </w:rPr>
        <w:t xml:space="preserve">bureau : </w:t>
      </w:r>
      <w:r w:rsidRPr="003D203E">
        <w:rPr>
          <w:i/>
          <w:iCs/>
          <w:color w:val="000000"/>
          <w:szCs w:val="22"/>
          <w:lang w:val="fr-CA"/>
        </w:rPr>
        <w:t>Unité d’Exécution du</w:t>
      </w:r>
      <w:r w:rsidRPr="003D203E">
        <w:rPr>
          <w:i/>
          <w:iCs/>
        </w:rPr>
        <w:t xml:space="preserve"> projet de la seconde ligne d’interconnexion</w:t>
      </w:r>
    </w:p>
    <w:p w14:paraId="785D1A28" w14:textId="77777777" w:rsidR="003D203E" w:rsidRPr="003D203E" w:rsidRDefault="003D203E" w:rsidP="003D203E">
      <w:pPr>
        <w:jc w:val="both"/>
        <w:rPr>
          <w:iCs/>
          <w:szCs w:val="24"/>
        </w:rPr>
      </w:pPr>
      <w:r w:rsidRPr="003D203E">
        <w:rPr>
          <w:iCs/>
          <w:szCs w:val="24"/>
        </w:rPr>
        <w:t xml:space="preserve">Adresse du bureau : </w:t>
      </w:r>
      <w:r w:rsidRPr="003D203E">
        <w:rPr>
          <w:i/>
          <w:iCs/>
          <w:color w:val="000000"/>
          <w:szCs w:val="22"/>
          <w:lang w:val="fr-CA"/>
        </w:rPr>
        <w:t>Immeuble Marabout, avenue Georges Pompidou</w:t>
      </w:r>
      <w:r w:rsidRPr="003D203E">
        <w:t xml:space="preserve"> </w:t>
      </w:r>
    </w:p>
    <w:p w14:paraId="26C169EB" w14:textId="77777777" w:rsidR="003D203E" w:rsidRPr="003D203E" w:rsidRDefault="003D203E" w:rsidP="003D203E">
      <w:pPr>
        <w:jc w:val="both"/>
        <w:rPr>
          <w:i/>
          <w:iCs/>
          <w:szCs w:val="24"/>
        </w:rPr>
      </w:pPr>
      <w:r w:rsidRPr="003D203E">
        <w:rPr>
          <w:iCs/>
          <w:szCs w:val="24"/>
        </w:rPr>
        <w:t xml:space="preserve">Téléphone : </w:t>
      </w:r>
      <w:r w:rsidRPr="003D203E">
        <w:rPr>
          <w:i/>
          <w:iCs/>
          <w:szCs w:val="24"/>
        </w:rPr>
        <w:t xml:space="preserve">Djibouti, </w:t>
      </w:r>
      <w:r w:rsidRPr="003D203E">
        <w:rPr>
          <w:i/>
          <w:spacing w:val="-3"/>
          <w:szCs w:val="24"/>
        </w:rPr>
        <w:t>21 33 08 10, 21 33 08 16</w:t>
      </w:r>
      <w:r w:rsidRPr="003D203E">
        <w:rPr>
          <w:spacing w:val="-3"/>
          <w:szCs w:val="24"/>
        </w:rPr>
        <w:t>,</w:t>
      </w:r>
    </w:p>
    <w:p w14:paraId="650919BC" w14:textId="77777777" w:rsidR="003D203E" w:rsidRPr="003D203E" w:rsidRDefault="003D203E" w:rsidP="003D203E">
      <w:pPr>
        <w:jc w:val="both"/>
        <w:rPr>
          <w:i/>
          <w:iCs/>
          <w:szCs w:val="24"/>
        </w:rPr>
      </w:pPr>
      <w:r w:rsidRPr="003D203E">
        <w:rPr>
          <w:iCs/>
          <w:szCs w:val="24"/>
        </w:rPr>
        <w:t xml:space="preserve">Télécopie : </w:t>
      </w:r>
      <w:r w:rsidRPr="003D203E">
        <w:rPr>
          <w:i/>
          <w:iCs/>
          <w:szCs w:val="24"/>
        </w:rPr>
        <w:t xml:space="preserve">Djibouti, 21 </w:t>
      </w:r>
      <w:r w:rsidRPr="003D203E">
        <w:rPr>
          <w:i/>
          <w:spacing w:val="-3"/>
          <w:szCs w:val="24"/>
        </w:rPr>
        <w:t>21 35 43 96</w:t>
      </w:r>
    </w:p>
    <w:p w14:paraId="292D386F" w14:textId="77777777" w:rsidR="003D203E" w:rsidRPr="003D203E" w:rsidRDefault="003D203E" w:rsidP="003D203E">
      <w:pPr>
        <w:jc w:val="both"/>
        <w:rPr>
          <w:spacing w:val="-2"/>
          <w:u w:val="single"/>
        </w:rPr>
      </w:pPr>
      <w:r w:rsidRPr="003D203E">
        <w:rPr>
          <w:iCs/>
        </w:rPr>
        <w:t>Adresse électronique :</w:t>
      </w:r>
      <w:r w:rsidRPr="003D203E">
        <w:t xml:space="preserve"> </w:t>
      </w:r>
      <w:hyperlink r:id="rId6" w:tgtFrame="_blank" w:history="1">
        <w:r w:rsidRPr="003D203E">
          <w:rPr>
            <w:rStyle w:val="Lienhypertexte"/>
            <w:iCs/>
          </w:rPr>
          <w:t>mafaliedd@edd-dj.com</w:t>
        </w:r>
      </w:hyperlink>
      <w:r w:rsidRPr="003D203E">
        <w:rPr>
          <w:iCs/>
        </w:rPr>
        <w:t xml:space="preserve">, </w:t>
      </w:r>
      <w:proofErr w:type="spellStart"/>
      <w:r w:rsidRPr="003D203E">
        <w:rPr>
          <w:rStyle w:val="Lienhypertexte"/>
          <w:iCs/>
        </w:rPr>
        <w:t>naima-med</w:t>
      </w:r>
      <w:proofErr w:type="spellEnd"/>
      <w:r w:rsidRPr="003D203E">
        <w:rPr>
          <w:rStyle w:val="Lienhypertexte"/>
          <w:iCs/>
        </w:rPr>
        <w:t>@ edd-dj.com</w:t>
      </w:r>
      <w:r w:rsidRPr="003D203E">
        <w:rPr>
          <w:spacing w:val="-2"/>
          <w:u w:val="single"/>
        </w:rPr>
        <w:t xml:space="preserve"> ou </w:t>
      </w:r>
    </w:p>
    <w:p w14:paraId="46DACCD2" w14:textId="77777777" w:rsidR="003D203E" w:rsidRPr="003D203E" w:rsidRDefault="003D203E" w:rsidP="003D203E">
      <w:pPr>
        <w:jc w:val="both"/>
        <w:rPr>
          <w:rStyle w:val="Lienhypertexte"/>
          <w:iCs/>
        </w:rPr>
      </w:pPr>
      <w:r w:rsidRPr="003D203E">
        <w:rPr>
          <w:rStyle w:val="Lienhypertexte"/>
          <w:iCs/>
        </w:rPr>
        <w:t xml:space="preserve">djamaedd@edd-dj.com </w:t>
      </w:r>
    </w:p>
    <w:p w14:paraId="52F06D9A" w14:textId="77777777" w:rsidR="003D203E" w:rsidRPr="003D203E" w:rsidRDefault="003D203E" w:rsidP="003D203E">
      <w:pPr>
        <w:spacing w:before="120" w:after="120"/>
        <w:jc w:val="both"/>
        <w:rPr>
          <w:i/>
        </w:rPr>
      </w:pPr>
      <w:r w:rsidRPr="003D203E">
        <w:rPr>
          <w:iCs/>
        </w:rPr>
        <w:t xml:space="preserve">Adresse Web site : </w:t>
      </w:r>
      <w:r w:rsidRPr="003D203E">
        <w:rPr>
          <w:i/>
          <w:iCs/>
        </w:rPr>
        <w:t>www.edd.dj</w:t>
      </w:r>
    </w:p>
    <w:p w14:paraId="6CA99A90" w14:textId="77777777" w:rsidR="003D203E" w:rsidRDefault="003D203E" w:rsidP="003D203E">
      <w:pPr>
        <w:spacing w:after="200"/>
        <w:jc w:val="both"/>
      </w:pPr>
    </w:p>
    <w:sectPr w:rsidR="003D20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ED1FA5"/>
    <w:multiLevelType w:val="hybridMultilevel"/>
    <w:tmpl w:val="FFFFFFFF"/>
    <w:lvl w:ilvl="0" w:tplc="98FA2DE0">
      <w:start w:val="1"/>
      <w:numFmt w:val="decimal"/>
      <w:lvlText w:val="%1."/>
      <w:lvlJc w:val="left"/>
      <w:pPr>
        <w:tabs>
          <w:tab w:val="num" w:pos="720"/>
        </w:tabs>
        <w:ind w:left="720" w:hanging="72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63126E8F"/>
    <w:multiLevelType w:val="hybridMultilevel"/>
    <w:tmpl w:val="247C2898"/>
    <w:lvl w:ilvl="0" w:tplc="040C000F">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 w15:restartNumberingAfterBreak="0">
    <w:nsid w:val="7E460EAC"/>
    <w:multiLevelType w:val="multilevel"/>
    <w:tmpl w:val="6EF09076"/>
    <w:lvl w:ilvl="0">
      <w:start w:val="1"/>
      <w:numFmt w:val="decimal"/>
      <w:lvlText w:val="%1."/>
      <w:lvlJc w:val="left"/>
      <w:pPr>
        <w:ind w:left="1575" w:hanging="1215"/>
      </w:pPr>
      <w:rPr>
        <w:i w:val="0"/>
        <w:iCs w:val="0"/>
        <w:color w:val="auto"/>
        <w:sz w:val="24"/>
        <w:szCs w:val="24"/>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0D2"/>
    <w:rsid w:val="0028428A"/>
    <w:rsid w:val="002E0E99"/>
    <w:rsid w:val="003D203E"/>
    <w:rsid w:val="005700D2"/>
    <w:rsid w:val="00630A91"/>
    <w:rsid w:val="008C11AD"/>
    <w:rsid w:val="00BB356B"/>
    <w:rsid w:val="00CE7F2A"/>
    <w:rsid w:val="00F176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DE908"/>
  <w15:chartTrackingRefBased/>
  <w15:docId w15:val="{E89C409D-6C1D-4962-9F41-3A50B9B18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761D"/>
    <w:pPr>
      <w:spacing w:after="0" w:line="240" w:lineRule="auto"/>
    </w:pPr>
    <w:rPr>
      <w:rFonts w:ascii="Times New Roman" w:eastAsia="Times New Roman" w:hAnsi="Times New Roman" w:cs="Times New Roman"/>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semiHidden/>
    <w:unhideWhenUsed/>
    <w:rsid w:val="00F1761D"/>
    <w:rPr>
      <w:rFonts w:ascii="Times New Roman" w:hAnsi="Times New Roman" w:cs="Times New Roman" w:hint="default"/>
      <w:color w:val="0000FF"/>
      <w:sz w:val="24"/>
      <w:u w:val="single"/>
    </w:rPr>
  </w:style>
  <w:style w:type="character" w:customStyle="1" w:styleId="ParagraphedelisteCar">
    <w:name w:val="Paragraphe de liste Car"/>
    <w:aliases w:val="Citation List Car,본문(내용) Car,List Paragraph (numbered (a)) Car,Colorful List - Accent 11 Car,Colorful List - Accent 11CxSpLast Car,List Paragraph (numbered (a))CxSpLast Car,List Paragraph (numbered (a))CxSpLastCxSpLast Car"/>
    <w:link w:val="Paragraphedeliste"/>
    <w:uiPriority w:val="34"/>
    <w:locked/>
    <w:rsid w:val="00F1761D"/>
    <w:rPr>
      <w:sz w:val="24"/>
      <w:lang w:eastAsia="fr-FR"/>
    </w:rPr>
  </w:style>
  <w:style w:type="paragraph" w:styleId="Paragraphedeliste">
    <w:name w:val="List Paragraph"/>
    <w:aliases w:val="Citation List,본문(내용),List Paragraph (numbered (a)),Colorful List - Accent 11,Colorful List - Accent 11CxSpLast,List Paragraph (numbered (a))CxSpLast,List Paragraph (numbered (a))CxSpLastCxSpLast,figure,Liste 1,Paragraphe 2,- List tir"/>
    <w:basedOn w:val="Normal"/>
    <w:link w:val="ParagraphedelisteCar"/>
    <w:uiPriority w:val="34"/>
    <w:qFormat/>
    <w:rsid w:val="00F1761D"/>
    <w:pPr>
      <w:suppressAutoHyphens/>
      <w:overflowPunct w:val="0"/>
      <w:autoSpaceDE w:val="0"/>
      <w:autoSpaceDN w:val="0"/>
      <w:adjustRightInd w:val="0"/>
      <w:ind w:left="720"/>
      <w:contextualSpacing/>
      <w:jc w:val="both"/>
    </w:pPr>
    <w:rPr>
      <w:rFonts w:asciiTheme="minorHAnsi" w:eastAsiaTheme="minorHAnsi" w:hAnsiTheme="minorHAnsi" w:cstheme="minorBidi"/>
      <w:szCs w:val="22"/>
    </w:rPr>
  </w:style>
  <w:style w:type="paragraph" w:customStyle="1" w:styleId="BankNormal">
    <w:name w:val="BankNormal"/>
    <w:basedOn w:val="Normal"/>
    <w:rsid w:val="00BB356B"/>
    <w:pPr>
      <w:spacing w:after="240"/>
    </w:pPr>
    <w:rPr>
      <w:lang w:val="en-US"/>
    </w:rPr>
  </w:style>
  <w:style w:type="paragraph" w:styleId="Sous-titre">
    <w:name w:val="Subtitle"/>
    <w:basedOn w:val="Normal"/>
    <w:link w:val="Sous-titreCar"/>
    <w:uiPriority w:val="11"/>
    <w:qFormat/>
    <w:rsid w:val="00CE7F2A"/>
    <w:pPr>
      <w:jc w:val="center"/>
    </w:pPr>
    <w:rPr>
      <w:b/>
      <w:sz w:val="44"/>
      <w:lang w:val="es-ES_tradnl"/>
    </w:rPr>
  </w:style>
  <w:style w:type="character" w:customStyle="1" w:styleId="Sous-titreCar">
    <w:name w:val="Sous-titre Car"/>
    <w:basedOn w:val="Policepardfaut"/>
    <w:link w:val="Sous-titre"/>
    <w:uiPriority w:val="11"/>
    <w:rsid w:val="00CE7F2A"/>
    <w:rPr>
      <w:rFonts w:ascii="Times New Roman" w:eastAsia="Times New Roman" w:hAnsi="Times New Roman" w:cs="Times New Roman"/>
      <w:b/>
      <w:sz w:val="44"/>
      <w:szCs w:val="20"/>
      <w:lang w:val="es-ES_tradnl"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41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faliedd@edd-dj.com"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640</Words>
  <Characters>3524</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NEIMA</dc:creator>
  <cp:keywords/>
  <dc:description/>
  <cp:lastModifiedBy>NEIMA</cp:lastModifiedBy>
  <cp:revision>9</cp:revision>
  <dcterms:created xsi:type="dcterms:W3CDTF">2023-06-12T09:19:00Z</dcterms:created>
  <dcterms:modified xsi:type="dcterms:W3CDTF">2025-10-26T08:57:00Z</dcterms:modified>
</cp:coreProperties>
</file>